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1">
      <w:pPr>
        <w:pStyle w:val="Title"/>
        <w:spacing w:line="259" w:lineRule="auto"/>
        <w:ind w:left="0" w:right="0" w:firstLine="708"/>
        <w:jc w:val="center"/>
        <w:rPr/>
      </w:pPr>
      <w:r>
        <w:rPr/>
        <w:drawing xmlns:mc="http://schemas.openxmlformats.org/markup-compatibility/2006">
          <wp:anchor allowOverlap="1" behindDoc="0" distT="0" distB="0" distL="0" distR="0" layoutInCell="1" locked="0" relativeHeight="251660288" simplePos="0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1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Боряна</w:t>
      </w:r>
      <w:r>
        <w:t xml:space="preserve"> </w:t>
      </w:r>
      <w:r>
        <w:t>4</w:t>
      </w:r>
      <w:r>
        <w:t>*</w:t>
      </w:r>
    </w:p>
    <w:p w14:paraId="00000002">
      <w:pPr>
        <w:pStyle w:val="Title"/>
        <w:spacing w:line="259" w:lineRule="auto"/>
        <w:ind w:left="0" w:right="0" w:firstLine="0"/>
        <w:jc w:val="center"/>
        <w:rPr/>
      </w:pPr>
      <w:r>
        <w:rPr>
          <w:color w:val="70ad47" w:themeColor="accent6"/>
          <w:sz w:val="32"/>
          <w:szCs w:val="32"/>
          <w:lang w:val="en-US"/>
        </w:rPr>
        <w:t>GREEN</w:t>
      </w:r>
      <w:r>
        <w:rPr>
          <w:color w:val="70ad47" w:themeColor="accent6"/>
          <w:spacing w:val="-14"/>
          <w:sz w:val="32"/>
          <w:szCs w:val="3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Inclusive</w:t>
      </w:r>
      <w:r>
        <w:rPr>
          <w:spacing w:val="-7"/>
        </w:rPr>
        <w:t xml:space="preserve"> </w:t>
      </w:r>
      <w:r>
        <w:t>202</w:t>
      </w:r>
      <w:r>
        <w:t>5</w:t>
      </w:r>
    </w:p>
    <w:p w14:paraId="00000003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00000004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color="4472c4" w:themeColor="accent1" w:sz="12" w:space="0"/>
          <w:left w:val="single" w:color="4472c4" w:themeColor="accent1" w:sz="12" w:space="0"/>
          <w:bottom w:val="single" w:color="4472c4" w:themeColor="accent1" w:sz="12" w:space="0"/>
          <w:right w:val="single" w:color="4472c4" w:themeColor="accent1" w:sz="12" w:space="0"/>
          <w:insideH w:val="single" w:color="4472c4" w:themeColor="accent1" w:sz="12" w:space="0"/>
          <w:insideV w:val="single" w:color="4472c4" w:themeColor="accent1" w:sz="12" w:space="0"/>
        </w:tblBorders>
        <w:shd w:val="clear" w:color="auto" w:fill="e2efd9" w:themeFill="accent6" w:themeFillTint="33"/>
        <w:tblLook w:val="04A0"/>
      </w:tblPr>
      <w:tblGrid>
        <w:gridCol w:w="5311"/>
        <w:gridCol w:w="5311"/>
      </w:tblGrid>
      <w:tr>
        <w:trPr/>
        <w:tc>
          <w:tcPr>
            <w:cnfStyle w:val="101000000000"/>
            <w:tcW w:w="10586" w:type="dxa"/>
            <w:gridSpan w:val="2"/>
            <w:tcBorders>
              <w:top w:val="single" w:color="70ad47" w:themeColor="accent6" w:sz="18" w:space="0"/>
              <w:left w:val="single" w:color="70ad47" w:themeColor="accent6" w:sz="18" w:space="0"/>
              <w:bottom w:val="single" w:color="70ad47" w:themeColor="accent6" w:sz="18" w:space="0"/>
              <w:right w:val="single" w:color="70ad47" w:themeColor="accent6" w:sz="18" w:space="0"/>
            </w:tcBorders>
            <w:shd w:val="clear" w:color="auto" w:fill="e2efd9" w:themeFill="accent6" w:themeFillTint="33"/>
          </w:tcPr>
          <w:p w14:paraId="00000005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Настаняване: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след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14:00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(програмата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започва</w:t>
            </w:r>
            <w:r>
              <w:rPr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с</w:t>
            </w:r>
            <w:r>
              <w:rPr>
                <w:spacing w:val="-10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междинно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хранене</w:t>
            </w:r>
            <w:r>
              <w:rPr>
                <w:spacing w:val="-2"/>
                <w:sz w:val="18"/>
                <w:szCs w:val="20"/>
              </w:rPr>
              <w:t>)</w:t>
            </w:r>
          </w:p>
          <w:p w14:paraId="00000006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Освобождаване:</w:t>
            </w:r>
            <w:r>
              <w:rPr>
                <w:spacing w:val="-11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до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1</w:t>
            </w:r>
            <w:r>
              <w:rPr>
                <w:spacing w:val="-2"/>
                <w:sz w:val="18"/>
                <w:szCs w:val="20"/>
              </w:rPr>
              <w:t>2</w:t>
            </w:r>
            <w:r>
              <w:rPr>
                <w:spacing w:val="-2"/>
                <w:sz w:val="18"/>
                <w:szCs w:val="20"/>
              </w:rPr>
              <w:t xml:space="preserve">:00 </w:t>
            </w:r>
            <w:r>
              <w:rPr>
                <w:sz w:val="18"/>
                <w:szCs w:val="20"/>
              </w:rPr>
              <w:t>(програмата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завършва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с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обяд)</w:t>
            </w:r>
          </w:p>
          <w:p w14:paraId="00000007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Мини бар - по заявка, срещу заплащане; сейф - срещу заплащане</w:t>
            </w:r>
          </w:p>
          <w:p w14:paraId="0000000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00000009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Уелкъм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дринк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/>
        <w:tc>
          <w:tcPr>
            <w:cnfStyle w:val="001000100000"/>
            <w:tcW w:w="5311" w:type="dxa"/>
          </w:tcPr>
          <w:p w14:paraId="0000000A">
            <w:pPr>
              <w:pStyle w:val="Heading2"/>
              <w:spacing w:before="99"/>
              <w:ind w:left="28"/>
              <w:rPr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0000000B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чай</w:t>
            </w:r>
            <w:r>
              <w:rPr>
                <w:spacing w:val="-5"/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Безалкохолни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напитки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/пост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микс/</w:t>
            </w:r>
          </w:p>
          <w:p w14:paraId="0000000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Селекция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напитки,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произведени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Албена (сок, вино, ракия)</w:t>
            </w:r>
            <w:r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Селекция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наливни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вина</w:t>
            </w:r>
          </w:p>
          <w:p w14:paraId="0000000D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Селекция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местни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алкохолни </w:t>
            </w:r>
            <w:r>
              <w:rPr>
                <w:spacing w:val="-2"/>
                <w:sz w:val="18"/>
                <w:szCs w:val="18"/>
              </w:rPr>
              <w:t>напитки</w:t>
            </w:r>
          </w:p>
          <w:p w14:paraId="0000000E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>Наливна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бира</w:t>
            </w:r>
          </w:p>
          <w:p w14:paraId="0000000F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>
              <w:rPr>
                <w:i/>
                <w:iCs/>
                <w:spacing w:val="-4"/>
                <w:sz w:val="18"/>
                <w:szCs w:val="18"/>
              </w:rPr>
              <w:t>висок</w:t>
            </w:r>
            <w:r>
              <w:rPr>
                <w:i/>
                <w:iCs/>
                <w:spacing w:val="-4"/>
                <w:sz w:val="18"/>
                <w:szCs w:val="18"/>
              </w:rPr>
              <w:t>ок</w:t>
            </w:r>
            <w:r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00000010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00000011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10:00 – </w:t>
            </w:r>
            <w:r>
              <w:rPr>
                <w:b/>
                <w:sz w:val="18"/>
                <w:szCs w:val="20"/>
              </w:rPr>
              <w:t>23</w:t>
            </w:r>
            <w:r>
              <w:rPr>
                <w:b/>
                <w:sz w:val="18"/>
                <w:szCs w:val="20"/>
              </w:rPr>
              <w:t>:00</w:t>
            </w:r>
          </w:p>
          <w:p w14:paraId="00000012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0000013">
            <w:pPr>
              <w:ind w:left="28"/>
              <w:rPr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11</w:t>
            </w:r>
            <w:r>
              <w:rPr>
                <w:b/>
                <w:bCs/>
                <w:sz w:val="18"/>
                <w:szCs w:val="20"/>
              </w:rPr>
              <w:t>:00</w:t>
            </w:r>
            <w:r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>
              <w:rPr>
                <w:b/>
                <w:bCs/>
                <w:sz w:val="18"/>
                <w:szCs w:val="20"/>
              </w:rPr>
              <w:t>–</w:t>
            </w:r>
            <w:r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>
              <w:rPr>
                <w:b/>
                <w:bCs/>
                <w:spacing w:val="-7"/>
                <w:sz w:val="18"/>
                <w:szCs w:val="20"/>
              </w:rPr>
              <w:t>2</w:t>
            </w:r>
            <w:r>
              <w:rPr>
                <w:b/>
                <w:bCs/>
                <w:spacing w:val="-7"/>
                <w:sz w:val="18"/>
                <w:szCs w:val="20"/>
              </w:rPr>
              <w:t>2</w:t>
            </w:r>
            <w:r>
              <w:rPr>
                <w:b/>
                <w:bCs/>
                <w:sz w:val="18"/>
                <w:szCs w:val="20"/>
              </w:rPr>
              <w:t xml:space="preserve">:00 </w:t>
            </w:r>
            <w:r>
              <w:rPr>
                <w:b w:val="off"/>
                <w:bCs w:val="off"/>
                <w:sz w:val="18"/>
                <w:szCs w:val="20"/>
              </w:rPr>
              <w:t>(</w:t>
            </w:r>
            <w:r>
              <w:rPr>
                <w:b w:val="off"/>
                <w:bCs w:val="off"/>
                <w:sz w:val="18"/>
                <w:szCs w:val="20"/>
              </w:rPr>
              <w:t>01.06 - 01.09)</w:t>
            </w:r>
          </w:p>
          <w:p w14:paraId="00000014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>
              <w:rPr>
                <w:b/>
                <w:sz w:val="20"/>
              </w:rPr>
              <w:t>Боряна</w:t>
            </w:r>
          </w:p>
          <w:p w14:paraId="00000015">
            <w:pPr>
              <w:ind w:right="388"/>
              <w:rPr>
                <w:bCs/>
                <w:sz w:val="18"/>
                <w:szCs w:val="20"/>
                <w:u w:val="single"/>
              </w:rPr>
            </w:pPr>
            <w:r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>
              <w:rPr>
                <w:bCs/>
                <w:i/>
                <w:iCs/>
                <w:sz w:val="18"/>
                <w:szCs w:val="20"/>
              </w:rPr>
              <w:t xml:space="preserve"> </w:t>
            </w:r>
            <w:r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00000016">
            <w:pPr>
              <w:spacing w:before="240"/>
              <w:ind w:right="388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Закуска: </w:t>
            </w:r>
            <w:r>
              <w:rPr>
                <w:sz w:val="18"/>
                <w:szCs w:val="20"/>
              </w:rPr>
              <w:t>07:30 – 10:00</w:t>
            </w:r>
          </w:p>
          <w:p w14:paraId="00000017">
            <w:pPr>
              <w:spacing w:before="12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Обяд:</w:t>
            </w:r>
            <w:r>
              <w:rPr>
                <w:b/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12:30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–</w:t>
            </w:r>
            <w:r>
              <w:rPr>
                <w:spacing w:val="-2"/>
                <w:sz w:val="18"/>
                <w:szCs w:val="20"/>
              </w:rPr>
              <w:t xml:space="preserve"> 14:30</w:t>
            </w:r>
          </w:p>
          <w:p w14:paraId="00000018">
            <w:pPr>
              <w:spacing w:before="21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Вечеря:</w:t>
            </w:r>
            <w:r>
              <w:rPr>
                <w:b/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18:</w:t>
            </w:r>
            <w:r>
              <w:rPr>
                <w:sz w:val="18"/>
                <w:szCs w:val="20"/>
              </w:rPr>
              <w:t>0</w:t>
            </w:r>
            <w:r>
              <w:rPr>
                <w:sz w:val="18"/>
                <w:szCs w:val="20"/>
              </w:rPr>
              <w:t>0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–</w:t>
            </w:r>
            <w:r>
              <w:rPr>
                <w:spacing w:val="-3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21:</w:t>
            </w:r>
            <w:r>
              <w:rPr>
                <w:spacing w:val="-2"/>
                <w:sz w:val="18"/>
                <w:szCs w:val="20"/>
              </w:rPr>
              <w:t>0</w:t>
            </w:r>
            <w:r>
              <w:rPr>
                <w:spacing w:val="-2"/>
                <w:sz w:val="18"/>
                <w:szCs w:val="20"/>
              </w:rPr>
              <w:t>0</w:t>
            </w:r>
          </w:p>
          <w:p w14:paraId="00000019">
            <w:pPr>
              <w:spacing w:before="19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Барбекю</w:t>
            </w:r>
            <w:r>
              <w:rPr>
                <w:b/>
                <w:spacing w:val="-4"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вечери:</w:t>
            </w:r>
            <w:r>
              <w:rPr>
                <w:b/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6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дни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в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седмицата</w:t>
            </w:r>
          </w:p>
          <w:p w14:paraId="0000001A">
            <w:pPr>
              <w:spacing w:before="21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Тематични</w:t>
            </w:r>
            <w:r>
              <w:rPr>
                <w:b/>
                <w:spacing w:val="-8"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вечери:</w:t>
            </w:r>
            <w:r>
              <w:rPr>
                <w:b/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2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пъти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седмично</w:t>
            </w:r>
          </w:p>
          <w:p w14:paraId="0000001B">
            <w:pPr>
              <w:spacing w:before="19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Междинно</w:t>
            </w:r>
            <w:r>
              <w:rPr>
                <w:b/>
                <w:spacing w:val="-8"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хранене:</w:t>
            </w:r>
            <w:r>
              <w:rPr>
                <w:b/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16:00</w:t>
            </w:r>
            <w:r>
              <w:rPr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–</w:t>
            </w:r>
            <w:r>
              <w:rPr>
                <w:spacing w:val="-10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17:00 (</w:t>
            </w:r>
            <w:r>
              <w:rPr>
                <w:sz w:val="18"/>
                <w:szCs w:val="20"/>
              </w:rPr>
              <w:t>Снек бар)</w:t>
            </w:r>
          </w:p>
          <w:p w14:paraId="0000001C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>
              <w:rPr>
                <w:bCs/>
                <w:sz w:val="18"/>
                <w:szCs w:val="20"/>
              </w:rPr>
              <w:t>снек бар;</w:t>
            </w:r>
          </w:p>
          <w:p w14:paraId="0000001D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>Dine</w:t>
            </w:r>
            <w:r>
              <w:rPr>
                <w:b/>
                <w:bCs/>
                <w:spacing w:val="-5"/>
              </w:rPr>
              <w:t xml:space="preserve"> </w:t>
            </w:r>
            <w:r>
              <w:rPr>
                <w:b/>
                <w:bCs/>
                <w:spacing w:val="-2"/>
              </w:rPr>
              <w:t>Around</w:t>
            </w:r>
          </w:p>
          <w:p w14:paraId="0000001E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(мин.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7дни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престой; </w:t>
            </w:r>
            <w:r>
              <w:rPr>
                <w:sz w:val="18"/>
                <w:szCs w:val="18"/>
              </w:rPr>
              <w:t>до 30.06. и след 01.09.</w:t>
            </w:r>
            <w:r>
              <w:rPr>
                <w:sz w:val="18"/>
                <w:szCs w:val="18"/>
              </w:rPr>
              <w:t>; необходима резервация; според наличността)</w:t>
            </w:r>
          </w:p>
          <w:p w14:paraId="0000001F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обяд в а-ла-карт ресторант</w:t>
            </w:r>
            <w:r>
              <w:rPr>
                <w:sz w:val="18"/>
                <w:szCs w:val="18"/>
              </w:rPr>
              <w:t xml:space="preserve"> -</w:t>
            </w:r>
            <w:r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ястие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десерт/;</w:t>
            </w:r>
            <w:r>
              <w:rPr>
                <w:spacing w:val="-7"/>
                <w:sz w:val="18"/>
                <w:szCs w:val="18"/>
              </w:rPr>
              <w:t xml:space="preserve"> </w:t>
            </w:r>
          </w:p>
          <w:p w14:paraId="00000020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ястие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десерт/;</w:t>
            </w:r>
            <w:r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cnfStyle w:val="000000100000"/>
            <w:tcW w:w="5311" w:type="dxa"/>
          </w:tcPr>
          <w:p w14:paraId="00000021">
            <w:pPr>
              <w:pStyle w:val="BodyText"/>
              <w:spacing w:before="21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>Плаж</w:t>
            </w:r>
          </w:p>
          <w:p w14:paraId="00000022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00000023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Спасител: 8:30 – 18:00</w:t>
            </w:r>
          </w:p>
          <w:p w14:paraId="00000024">
            <w:pPr>
              <w:pStyle w:val="BodyText"/>
              <w:spacing w:before="240"/>
              <w:ind w:left="28"/>
              <w:rPr>
                <w:b/>
              </w:rPr>
            </w:pPr>
            <w:r>
              <w:rPr>
                <w:b/>
              </w:rPr>
              <w:t>Басейни</w:t>
            </w:r>
          </w:p>
          <w:p w14:paraId="00000025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външен басейн, 1 детски басейн</w:t>
            </w:r>
          </w:p>
          <w:p w14:paraId="00000026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Чадъри и </w:t>
            </w:r>
            <w:r>
              <w:rPr>
                <w:sz w:val="18"/>
                <w:szCs w:val="18"/>
              </w:rPr>
              <w:t>шезлонги</w:t>
            </w:r>
            <w:r>
              <w:rPr>
                <w:sz w:val="18"/>
                <w:szCs w:val="18"/>
              </w:rPr>
              <w:t xml:space="preserve"> около басейн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z w:val="18"/>
                <w:szCs w:val="18"/>
              </w:rPr>
              <w:t>/според наличността/</w:t>
            </w:r>
          </w:p>
          <w:p w14:paraId="0000002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Спасител: 8:30 – 18:00</w:t>
            </w:r>
          </w:p>
          <w:p w14:paraId="00000028">
            <w:pPr>
              <w:pStyle w:val="BodyText"/>
              <w:spacing w:before="240"/>
              <w:ind w:left="28"/>
              <w:rPr>
                <w:b/>
              </w:rPr>
            </w:pPr>
            <w:r>
              <w:rPr>
                <w:b/>
              </w:rPr>
              <w:t>Towel Service</w:t>
            </w:r>
          </w:p>
          <w:p w14:paraId="00000029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>
              <w:rPr>
                <w:sz w:val="18"/>
                <w:szCs w:val="18"/>
              </w:rPr>
              <w:t xml:space="preserve">– </w:t>
            </w:r>
            <w:r>
              <w:rPr>
                <w:sz w:val="18"/>
                <w:szCs w:val="18"/>
              </w:rPr>
              <w:t>срещу заплащ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не на рецепция</w:t>
            </w:r>
          </w:p>
          <w:p w14:paraId="0000002A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>Анимация</w:t>
            </w:r>
          </w:p>
          <w:p w14:paraId="0000002B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Разнообразна</w:t>
            </w:r>
            <w:r>
              <w:rPr>
                <w:sz w:val="18"/>
                <w:szCs w:val="18"/>
              </w:rPr>
              <w:t xml:space="preserve"> анимационна програма и</w:t>
            </w:r>
          </w:p>
          <w:p w14:paraId="0000002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спортни активности - 6-дневна анимация за възрастни и деца; вечерна анимация - 3 пъти седмично (Юли и Август); </w:t>
            </w:r>
            <w:r>
              <w:rPr>
                <w:sz w:val="18"/>
                <w:szCs w:val="18"/>
              </w:rPr>
              <w:t>концерти и кино на лятната сцена (Юли и Август) Мини клуб и площадка за игра - 6 дни седмично, от 10:00 до 12:00 и от 15:30 до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17:30; от 3 до 11 години</w:t>
            </w:r>
          </w:p>
          <w:p w14:paraId="0000002D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 диско - 6 дни седмично, от 20:00 - 20:30</w:t>
            </w:r>
          </w:p>
          <w:p w14:paraId="0000002E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>Sports Around®</w:t>
            </w:r>
          </w:p>
          <w:p w14:paraId="0000002F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00000030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>
              <w:rPr>
                <w:b/>
                <w:bCs/>
              </w:rPr>
              <w:t>ПАРКИНГ</w:t>
            </w:r>
          </w:p>
          <w:p w14:paraId="00000031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0000032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00000033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0000003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ИНТЕРНЕТ</w:t>
            </w:r>
          </w:p>
          <w:p w14:paraId="00000035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0000036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00000037"/>
    <w:sectPr>
      <w:pgSz w:w="11906" w:h="16838"/>
      <w:pgMar w:top="709" w:right="707" w:bottom="993" w:left="56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Verdana">
    <w:panose1 w:val="020b0604030504040204"/>
    <w:charset w:val="cc"/>
    <w:family w:val="swiss"/>
    <w:pitch w:val="variable"/>
    <w:sig w:usb0="00000000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00000000" w:usb1="00000000" w:usb2="00000029" w:usb3="00000000" w:csb0="000101f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numFmt w:val="bullet"/>
      <w:lvlText w:val=""/>
      <w:lvlJc w:val="left"/>
      <w:pPr>
        <w:ind w:left="1075" w:hanging="360"/>
      </w:pPr>
      <w:rPr>
        <w:rFonts w:ascii="Symbol" w:cs="Symbol" w:eastAsia="Symbol" w:hAnsi="Symbol" w:hint="default"/>
        <w:b w:val="off"/>
        <w:bCs w:val="off"/>
        <w:i w:val="off"/>
        <w:iCs w:val="off"/>
        <w:spacing w:val="0"/>
        <w:w w:val="99"/>
        <w:sz w:val="20"/>
        <w:szCs w:val="20"/>
        <w:lang w:val="bg-BG" w:bidi="ar-SA" w:eastAsia="en-US"/>
      </w:rPr>
    </w:lvl>
    <w:lvl w:ilvl="1" w:tentative="0">
      <w:numFmt w:val="bullet"/>
      <w:lvlText w:val="•"/>
      <w:lvlJc w:val="left"/>
      <w:pPr>
        <w:ind w:left="2160" w:hanging="360"/>
      </w:pPr>
      <w:rPr>
        <w:rFonts w:hint="default"/>
        <w:lang w:val="bg-BG" w:bidi="ar-SA" w:eastAsia="en-US"/>
      </w:rPr>
    </w:lvl>
    <w:lvl w:ilvl="2" w:tentative="0">
      <w:numFmt w:val="bullet"/>
      <w:lvlText w:val="•"/>
      <w:lvlJc w:val="left"/>
      <w:pPr>
        <w:ind w:left="3240" w:hanging="360"/>
      </w:pPr>
      <w:rPr>
        <w:rFonts w:hint="default"/>
        <w:lang w:val="bg-BG" w:bidi="ar-SA" w:eastAsia="en-US"/>
      </w:rPr>
    </w:lvl>
    <w:lvl w:ilvl="3" w:tentative="0">
      <w:numFmt w:val="bullet"/>
      <w:lvlText w:val="•"/>
      <w:lvlJc w:val="left"/>
      <w:pPr>
        <w:ind w:left="4320" w:hanging="360"/>
      </w:pPr>
      <w:rPr>
        <w:rFonts w:hint="default"/>
        <w:lang w:val="bg-BG" w:bidi="ar-SA" w:eastAsia="en-US"/>
      </w:rPr>
    </w:lvl>
    <w:lvl w:ilvl="4" w:tentative="0">
      <w:numFmt w:val="bullet"/>
      <w:lvlText w:val="•"/>
      <w:lvlJc w:val="left"/>
      <w:pPr>
        <w:ind w:left="5400" w:hanging="360"/>
      </w:pPr>
      <w:rPr>
        <w:rFonts w:hint="default"/>
        <w:lang w:val="bg-BG" w:bidi="ar-SA" w:eastAsia="en-US"/>
      </w:rPr>
    </w:lvl>
    <w:lvl w:ilvl="5" w:tentative="0">
      <w:numFmt w:val="bullet"/>
      <w:lvlText w:val="•"/>
      <w:lvlJc w:val="left"/>
      <w:pPr>
        <w:ind w:left="6481" w:hanging="360"/>
      </w:pPr>
      <w:rPr>
        <w:rFonts w:hint="default"/>
        <w:lang w:val="bg-BG" w:bidi="ar-SA" w:eastAsia="en-US"/>
      </w:rPr>
    </w:lvl>
    <w:lvl w:ilvl="6" w:tentative="0">
      <w:numFmt w:val="bullet"/>
      <w:lvlText w:val="•"/>
      <w:lvlJc w:val="left"/>
      <w:pPr>
        <w:ind w:left="7561" w:hanging="360"/>
      </w:pPr>
      <w:rPr>
        <w:rFonts w:hint="default"/>
        <w:lang w:val="bg-BG" w:bidi="ar-SA" w:eastAsia="en-US"/>
      </w:rPr>
    </w:lvl>
    <w:lvl w:ilvl="7" w:tentative="0">
      <w:numFmt w:val="bullet"/>
      <w:lvlText w:val="•"/>
      <w:lvlJc w:val="left"/>
      <w:pPr>
        <w:ind w:left="8641" w:hanging="360"/>
      </w:pPr>
      <w:rPr>
        <w:rFonts w:hint="default"/>
        <w:lang w:val="bg-BG" w:bidi="ar-SA" w:eastAsia="en-US"/>
      </w:rPr>
    </w:lvl>
    <w:lvl w:ilvl="8" w:tentative="0">
      <w:numFmt w:val="bullet"/>
      <w:lvlText w:val="•"/>
      <w:lvlJc w:val="left"/>
      <w:pPr>
        <w:ind w:left="9721" w:hanging="360"/>
      </w:pPr>
      <w:rPr>
        <w:rFonts w:hint="default"/>
        <w:lang w:val="bg-BG" w:bidi="ar-SA" w:eastAsia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31D44"/>
    <w:rsid w:val="000451A7"/>
    <w:rsid w:val="001B033B"/>
    <w:rsid w:val="001E7E34"/>
    <w:rsid w:val="00263131"/>
    <w:rsid w:val="0029720B"/>
    <w:rsid w:val="002B26A8"/>
    <w:rsid w:val="0035149C"/>
    <w:rsid w:val="004B1DF4"/>
    <w:rsid w:val="005B0817"/>
    <w:rsid w:val="00667809"/>
    <w:rsid w:val="008D79C4"/>
    <w:rsid w:val="009B2512"/>
    <w:rsid w:val="009B4F9A"/>
    <w:rsid w:val="00A96E87"/>
    <w:rsid w:val="00BB5D5D"/>
    <w:rsid w:val="00E1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bg-BG" w:bidi="ar-SA" w:eastAsia="en-US"/>
        <w14:ligatures w14:val="standardContextual"/>
      </w:rPr>
    </w:rPrDefault>
    <w:pPrDefault>
      <w:pPr>
        <w:spacing w:after="160" w:line="259" w:lineRule="auto"/>
      </w:pPr>
    </w:pPrDefault>
  </w:docDefaults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  <w:pPr>
      <w:widowControl w:val="off"/>
      <w:spacing w:after="0" w:line="240" w:lineRule="auto"/>
    </w:pPr>
    <w:rPr>
      <w:rFonts w:ascii="Verdana" w:cs="Verdana" w:eastAsia="Verdana" w:hAnsi="Verdana"/>
    </w:rPr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240"/>
    </w:pPr>
    <w:rPr>
      <w:rFonts w:asciiTheme="majorHAnsi" w:cstheme="majorBidi" w:eastAsiaTheme="majorEastAsia" w:hAnsiTheme="majorHAnsi"/>
      <w:color w:val="2f539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 w:val="on"/>
    <w:qFormat w:val="on"/>
    <w:pPr>
      <w:ind w:left="72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BodyText">
    <w:name w:val="Body Text"/>
    <w:basedOn w:val="Normal"/>
    <w:link w:val="BodyTextChar"/>
    <w:uiPriority w:val="1"/>
    <w:qFormat w:val="on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Verdana" w:cs="Verdana" w:eastAsia="Verdana" w:hAnsi="Verdana"/>
      <w:sz w:val="20"/>
      <w:szCs w:val="20"/>
    </w:rPr>
  </w:style>
  <w:style w:type="paragraph" w:styleId="Title">
    <w:name w:val="Title"/>
    <w:basedOn w:val="Normal"/>
    <w:link w:val="TitleChar"/>
    <w:uiPriority w:val="10"/>
    <w:qFormat w:val="on"/>
    <w:pPr>
      <w:ind w:left="3922" w:right="3580" w:firstLine="566"/>
    </w:pPr>
    <w:rPr>
      <w:rFonts w:ascii="Arial" w:cs="Arial" w:eastAsia="Arial" w:hAnsi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cs="Arial" w:eastAsia="Arial" w:hAnsi="Arial"/>
      <w:b/>
      <w:bCs/>
      <w:sz w:val="28"/>
      <w:szCs w:val="28"/>
    </w:rPr>
  </w:style>
  <w:style w:type="table" w:styleId="TableGrid">
    <w:name w:val="Table Grid"/>
    <w:basedOn w:val="NormalTable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Pr>
      <w:rFonts w:ascii="Verdana" w:cs="Verdana" w:eastAsia="Verdana" w:hAnsi="Verdana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color w:val="2f539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0" Type="http://schemas.openxmlformats.org/officeDocument/2006/relationships/image" Target="media/image1.png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Velina Gyumova</dc:creator>
  <cp:lastModifiedBy>Gergana Petrova</cp:lastModifiedBy>
</cp:coreProperties>
</file>